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304F" w14:textId="6B506764" w:rsidR="00EE4BBD" w:rsidRDefault="00EE4BBD" w:rsidP="00021B66">
      <w:pPr>
        <w:ind w:firstLine="0"/>
        <w:jc w:val="center"/>
        <w:rPr>
          <w:b/>
          <w:strike/>
        </w:rPr>
      </w:pPr>
      <w:r w:rsidRPr="00EE4BBD">
        <w:rPr>
          <w:b/>
          <w:strike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7DF27B" wp14:editId="4EE162AF">
                <wp:simplePos x="0" y="0"/>
                <wp:positionH relativeFrom="margin">
                  <wp:align>right</wp:align>
                </wp:positionH>
                <wp:positionV relativeFrom="paragraph">
                  <wp:posOffset>-600075</wp:posOffset>
                </wp:positionV>
                <wp:extent cx="30384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688B" w14:textId="77777777" w:rsidR="00EE4BBD" w:rsidRDefault="00EE4BBD" w:rsidP="00A51756">
                            <w:pPr>
                              <w:spacing w:line="240" w:lineRule="auto"/>
                              <w:ind w:firstLine="0"/>
                            </w:pPr>
                            <w:r>
                              <w:t>PATVIRTINTA</w:t>
                            </w:r>
                          </w:p>
                          <w:p w14:paraId="40B1758F" w14:textId="77777777" w:rsidR="00EE4BBD" w:rsidRDefault="00EE4BBD" w:rsidP="00A51756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Vilniaus Gedimino technikos universiteto Antano Gustaičio aviacijos instituto </w:t>
                            </w:r>
                          </w:p>
                          <w:p w14:paraId="2E8DDC0F" w14:textId="77777777" w:rsidR="00EE4BBD" w:rsidRDefault="00EE4BBD" w:rsidP="00A51756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Dekano 2019 m. sausio 31 d. potvarkiu </w:t>
                            </w:r>
                          </w:p>
                          <w:p w14:paraId="416E5A99" w14:textId="158BDFC6" w:rsidR="00EE4BBD" w:rsidRDefault="00EE4BBD" w:rsidP="00A51756">
                            <w:pPr>
                              <w:spacing w:line="240" w:lineRule="auto"/>
                              <w:ind w:firstLine="0"/>
                            </w:pPr>
                            <w:r>
                              <w:t>Nr.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DF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47.25pt;width:239.2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aGIgIAAB4EAAAOAAAAZHJzL2Uyb0RvYy54bWysU11v2yAUfZ+0/4B4X/xRp0mtOFWXLtOk&#10;7kNq9wMwxjEa5jIgsbNf3wtO06h7m8YDAu7lcO65h9Xt2CtyENZJ0BXNZiklQnNopN5V9OfT9sOS&#10;EueZbpgCLSp6FI7ert+/Ww2mFDl0oBphCYJoVw6mop33pkwSxzvRMzcDIzQGW7A987i1u6SxbED0&#10;XiV5ml4nA9jGWODCOTy9n4J0HfHbVnD/vW2d8ERVFLn5ONs412FO1itW7iwzneQnGuwfWPRManz0&#10;DHXPPCN7K/+C6iW34KD1Mw59Am0ruYg1YDVZ+qaax44ZEWtBcZw5y+T+Hyz/dvhhiWwqmmcLSjTr&#10;sUlPYvTkI4wkD/oMxpWY9mgw0Y94jH2OtTrzAPyXIxo2HdM7cWctDJ1gDfLLws3k4uqE4wJIPXyF&#10;Bp9hew8RaGxtH8RDOQiiY5+O594EKhwPr9KrZbGYU8IxlhVpcZ3H7iWsfLlurPOfBfQkLCpqsfkR&#10;nh0enA90WPmSEl5zoGSzlUrFjd3VG2XJgaFRtnHECt6kKU2Git7M83lE1hDuRw/10qORlewrukzD&#10;mKwV5Pikm5jimVTTGpkofdInSDKJ48d6xMQgWg3NEZWyMBkWPxguOrB/KBnQrBV1v/fMCkrUF41q&#10;32RFEdwdN8V8gdIQexmpLyNMc4SqqKdkWm58/BFRB3OHXdnKqNcrkxNXNGGU8fRhgssv9zHr9Vuv&#10;nwEAAP//AwBQSwMEFAAGAAgAAAAhAN/qeQndAAAACAEAAA8AAABkcnMvZG93bnJldi54bWxMj81O&#10;wzAQhO9IvIO1SNxah6p/hDhVRcWFAxIFCY5uvIkj7HVku2l4e5YT3HY0o9lvqt3knRgxpj6Qgrt5&#10;AQKpCaanTsH729NsCyJlTUa7QKjgGxPs6uurSpcmXOgVx2PuBJdQKrUCm/NQSpkai16neRiQ2GtD&#10;9DqzjJ00UV+43Du5KIq19Lon/mD1gI8Wm6/j2Sv48LY3h/jy2Ro3Hp7b/WqY4qDU7c20fwCRccp/&#10;YfjFZ3SomekUzmSScAp4SFYwu1+uQLC93Gz5OHFusd6ArCv5f0D9AwAA//8DAFBLAQItABQABgAI&#10;AAAAIQC2gziS/gAAAOEBAAATAAAAAAAAAAAAAAAAAAAAAABbQ29udGVudF9UeXBlc10ueG1sUEsB&#10;Ai0AFAAGAAgAAAAhADj9If/WAAAAlAEAAAsAAAAAAAAAAAAAAAAALwEAAF9yZWxzLy5yZWxzUEsB&#10;Ai0AFAAGAAgAAAAhAB42JoYiAgAAHgQAAA4AAAAAAAAAAAAAAAAALgIAAGRycy9lMm9Eb2MueG1s&#10;UEsBAi0AFAAGAAgAAAAhAN/qeQndAAAACAEAAA8AAAAAAAAAAAAAAAAAfAQAAGRycy9kb3ducmV2&#10;LnhtbFBLBQYAAAAABAAEAPMAAACGBQAAAAA=&#10;" stroked="f">
                <v:textbox style="mso-fit-shape-to-text:t">
                  <w:txbxContent>
                    <w:p w14:paraId="6DCF688B" w14:textId="77777777" w:rsidR="00EE4BBD" w:rsidRDefault="00EE4BBD" w:rsidP="00A51756">
                      <w:pPr>
                        <w:spacing w:line="240" w:lineRule="auto"/>
                        <w:ind w:firstLine="0"/>
                      </w:pPr>
                      <w:r>
                        <w:t>PATVIRTINTA</w:t>
                      </w:r>
                    </w:p>
                    <w:p w14:paraId="40B1758F" w14:textId="77777777" w:rsidR="00EE4BBD" w:rsidRDefault="00EE4BBD" w:rsidP="00A51756">
                      <w:pPr>
                        <w:spacing w:line="240" w:lineRule="auto"/>
                        <w:ind w:firstLine="0"/>
                      </w:pPr>
                      <w:r>
                        <w:t xml:space="preserve">Vilniaus Gedimino technikos universiteto Antano Gustaičio aviacijos instituto </w:t>
                      </w:r>
                    </w:p>
                    <w:p w14:paraId="2E8DDC0F" w14:textId="77777777" w:rsidR="00EE4BBD" w:rsidRDefault="00EE4BBD" w:rsidP="00A51756">
                      <w:pPr>
                        <w:spacing w:line="240" w:lineRule="auto"/>
                        <w:ind w:firstLine="0"/>
                      </w:pPr>
                      <w:r>
                        <w:t xml:space="preserve">Dekano 2019 m. sausio 31 d. potvarkiu </w:t>
                      </w:r>
                    </w:p>
                    <w:p w14:paraId="416E5A99" w14:textId="158BDFC6" w:rsidR="00EE4BBD" w:rsidRDefault="00EE4BBD" w:rsidP="00A51756">
                      <w:pPr>
                        <w:spacing w:line="240" w:lineRule="auto"/>
                        <w:ind w:firstLine="0"/>
                      </w:pPr>
                      <w:r>
                        <w:t>Nr.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243CC" w14:textId="77777777" w:rsidR="00EE4BBD" w:rsidRDefault="00EE4BBD" w:rsidP="00021B66">
      <w:pPr>
        <w:ind w:firstLine="0"/>
        <w:jc w:val="center"/>
        <w:rPr>
          <w:b/>
          <w:strike/>
        </w:rPr>
      </w:pPr>
    </w:p>
    <w:p w14:paraId="3E600C7C" w14:textId="66883D4E" w:rsidR="00601A1B" w:rsidRDefault="00A767C2" w:rsidP="00021B66">
      <w:pPr>
        <w:ind w:firstLine="0"/>
        <w:jc w:val="center"/>
        <w:rPr>
          <w:b/>
        </w:rPr>
      </w:pPr>
      <w:r>
        <w:rPr>
          <w:b/>
        </w:rPr>
        <w:t xml:space="preserve">UNIVERSITETINIŲ </w:t>
      </w:r>
      <w:r w:rsidR="001D088F" w:rsidRPr="00021B66">
        <w:rPr>
          <w:b/>
        </w:rPr>
        <w:t xml:space="preserve">STUDIJŲ </w:t>
      </w:r>
      <w:r w:rsidR="00601A1B">
        <w:rPr>
          <w:b/>
        </w:rPr>
        <w:t>PROFESINIO TESTAVIMO DALYKŲ GRUPĖS EGZAMINAVIMO</w:t>
      </w:r>
      <w:r w:rsidR="001D088F" w:rsidRPr="00021B66">
        <w:rPr>
          <w:b/>
        </w:rPr>
        <w:t xml:space="preserve"> </w:t>
      </w:r>
      <w:r w:rsidR="00C14E1F">
        <w:rPr>
          <w:b/>
        </w:rPr>
        <w:t xml:space="preserve">LAIKINASIS </w:t>
      </w:r>
      <w:r w:rsidR="001D088F" w:rsidRPr="00021B66">
        <w:rPr>
          <w:b/>
        </w:rPr>
        <w:t xml:space="preserve">TVARKOS APRAŠAS </w:t>
      </w:r>
    </w:p>
    <w:p w14:paraId="41FAE0D6" w14:textId="756768A6" w:rsidR="00A767C2" w:rsidRDefault="00A767C2" w:rsidP="008F7F07">
      <w:pPr>
        <w:ind w:firstLine="0"/>
        <w:jc w:val="both"/>
        <w:rPr>
          <w:b/>
        </w:rPr>
      </w:pPr>
    </w:p>
    <w:p w14:paraId="28594DA6" w14:textId="3739B628" w:rsidR="00A767C2" w:rsidRDefault="00A767C2" w:rsidP="00A51756">
      <w:pPr>
        <w:ind w:firstLine="0"/>
        <w:jc w:val="center"/>
        <w:rPr>
          <w:b/>
        </w:rPr>
      </w:pPr>
      <w:r>
        <w:rPr>
          <w:b/>
        </w:rPr>
        <w:t>I SKYRIUS</w:t>
      </w:r>
    </w:p>
    <w:p w14:paraId="0AB43D00" w14:textId="7FD93DD8" w:rsidR="001D088F" w:rsidRDefault="00A767C2" w:rsidP="00A51756">
      <w:pPr>
        <w:ind w:firstLine="0"/>
        <w:jc w:val="center"/>
      </w:pPr>
      <w:r>
        <w:rPr>
          <w:b/>
        </w:rPr>
        <w:t>BENDROSIOS NUOSTATOS</w:t>
      </w:r>
    </w:p>
    <w:p w14:paraId="0D6D602D" w14:textId="4A06FDAF" w:rsidR="00AC5247" w:rsidRDefault="00A767C2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Vilniaus Gedimino technikos universiteto studentų </w:t>
      </w:r>
      <w:r w:rsidR="00AC5247">
        <w:t xml:space="preserve">profesinio testavimo </w:t>
      </w:r>
      <w:r>
        <w:t>organizavimo</w:t>
      </w:r>
      <w:r w:rsidR="00C14E1F">
        <w:t xml:space="preserve"> laikinasis </w:t>
      </w:r>
      <w:r>
        <w:t xml:space="preserve"> tvarkos aprašas (toliau – Tvarkos aprašas) reglamentuoja Vilniaus Gedimino technikos</w:t>
      </w:r>
      <w:r w:rsidR="00AC5247">
        <w:t xml:space="preserve"> </w:t>
      </w:r>
      <w:r>
        <w:t>universiteto (toliau – Universitetas) pirmosios ir antrosios pakopų bei vientisųjų studijų studentų</w:t>
      </w:r>
      <w:r w:rsidR="00AC5247">
        <w:t xml:space="preserve"> </w:t>
      </w:r>
      <w:r w:rsidR="00A51756">
        <w:t xml:space="preserve">profesinių </w:t>
      </w:r>
      <w:r>
        <w:t>pasiekimų vertinimą, atsiskaitymų formas ir metodus, taip pat ats</w:t>
      </w:r>
      <w:r w:rsidR="00AC5247">
        <w:t>iskaitymų organizavimo tvarką.</w:t>
      </w:r>
    </w:p>
    <w:p w14:paraId="768B6E6E" w14:textId="3AD6B288" w:rsidR="00737DE3" w:rsidRDefault="00737DE3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737DE3">
        <w:t>Š</w:t>
      </w:r>
      <w:r w:rsidRPr="00A51756">
        <w:t>is</w:t>
      </w:r>
      <w:r>
        <w:t xml:space="preserve"> tvarkos aprašas taikomas universitetinių studijų studentams, kurių studijų programoje </w:t>
      </w:r>
      <w:r w:rsidR="00D21782">
        <w:t>numatytas profesinis testavimas (toliau – Profesinio testavimo egzaminas, PTE), o jo atlikimo būtinumą ir sąlygas reglamentuoja atitinkamos studijų programos išoriniai dokumentai (Europos Komisijos direktyvos, Europos aviacijos saugos agentūros</w:t>
      </w:r>
      <w:r w:rsidR="00A767C2">
        <w:t xml:space="preserve">, </w:t>
      </w:r>
      <w:r w:rsidR="00D21782" w:rsidRPr="00D21782">
        <w:t xml:space="preserve">EUROCONTROL </w:t>
      </w:r>
      <w:r w:rsidR="00D21782">
        <w:t>(</w:t>
      </w:r>
      <w:r w:rsidR="00D21782" w:rsidRPr="00D21782">
        <w:t>European Organisation for the Safety of Air Navigation</w:t>
      </w:r>
      <w:r w:rsidR="00D21782">
        <w:t xml:space="preserve">) </w:t>
      </w:r>
      <w:r w:rsidR="00A767C2">
        <w:t xml:space="preserve">ir kitų </w:t>
      </w:r>
      <w:r w:rsidR="00AC5247">
        <w:t>rekomendacijo</w:t>
      </w:r>
      <w:r w:rsidR="00D21782">
        <w:t xml:space="preserve">s). </w:t>
      </w:r>
    </w:p>
    <w:p w14:paraId="3BE2FF3D" w14:textId="697B39F7" w:rsidR="00AC5247" w:rsidRDefault="00AC5247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Šiame apraše vartojamos sąvokos:</w:t>
      </w:r>
    </w:p>
    <w:p w14:paraId="376B9B43" w14:textId="1C2F806C" w:rsidR="00AC5247" w:rsidRDefault="00AC5247" w:rsidP="00AB4D9A">
      <w:pPr>
        <w:pStyle w:val="ListParagraph"/>
        <w:numPr>
          <w:ilvl w:val="1"/>
          <w:numId w:val="13"/>
        </w:numPr>
        <w:tabs>
          <w:tab w:val="left" w:pos="993"/>
        </w:tabs>
        <w:ind w:left="0" w:firstLine="567"/>
      </w:pPr>
      <w:r>
        <w:t>Profesinis testavimas, tarpinis</w:t>
      </w:r>
      <w:r w:rsidR="00A51756">
        <w:t xml:space="preserve"> atsiskaitymas</w:t>
      </w:r>
      <w:r>
        <w:t xml:space="preserve"> (PTT)</w:t>
      </w:r>
      <w:r w:rsidR="0023741A">
        <w:t xml:space="preserve"> – iki sesijos organizuojamas studentų pasiekimų vertinimas.</w:t>
      </w:r>
      <w:bookmarkStart w:id="0" w:name="_GoBack"/>
      <w:bookmarkEnd w:id="0"/>
    </w:p>
    <w:p w14:paraId="008024BE" w14:textId="08AB9DDD" w:rsidR="0023741A" w:rsidRDefault="0023741A" w:rsidP="00AB4D9A">
      <w:pPr>
        <w:pStyle w:val="ListParagraph"/>
        <w:numPr>
          <w:ilvl w:val="1"/>
          <w:numId w:val="13"/>
        </w:numPr>
        <w:tabs>
          <w:tab w:val="left" w:pos="993"/>
        </w:tabs>
        <w:ind w:left="0" w:firstLine="567"/>
      </w:pPr>
      <w:r>
        <w:t>Profesinis testavimas, galutinis</w:t>
      </w:r>
      <w:r w:rsidR="00A51756">
        <w:t xml:space="preserve"> atsiskaitymas</w:t>
      </w:r>
      <w:r>
        <w:t xml:space="preserve"> (PTG) – paskutinę studijuojamo dalyko paskaitą atliekamas studentų pasiekimų vertinimas už kurso metu įgytas žinias.</w:t>
      </w:r>
    </w:p>
    <w:p w14:paraId="7ED5E3D7" w14:textId="77777777" w:rsidR="00F42D15" w:rsidRDefault="00CA0B1B" w:rsidP="00AB4D9A">
      <w:pPr>
        <w:pStyle w:val="ListParagraph"/>
        <w:numPr>
          <w:ilvl w:val="1"/>
          <w:numId w:val="13"/>
        </w:numPr>
        <w:tabs>
          <w:tab w:val="left" w:pos="993"/>
        </w:tabs>
        <w:ind w:left="0" w:firstLine="567"/>
      </w:pPr>
      <w:r>
        <w:t>Kitos šiame tvarkos apraše vartojamos sąvokos ir apibrėžimai aprašyti Vilniaus Gedimino technikos universiteto Senato 2018 m. gruodžio 11 d. nutarimu Nr. 107-2.3 patvirtintame Vilniaus Gedimino technikos universiteto studijuojančiųjų pasiekimų vertinimo ir atsiskaitymų organizavimo tvarkos apraše.</w:t>
      </w:r>
    </w:p>
    <w:p w14:paraId="0D3735AC" w14:textId="77777777" w:rsidR="00EC1666" w:rsidRDefault="00EC1666" w:rsidP="00EC1666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Siekiant užtikrinti 2 punkte pateiktų išorinio reguliavimo dokumentuose nustatytas atitinkamų programų baigimo pažymėjimų išdavimo sąlygas, numatyta atitinkamų dalykų kurso medžiagos pateikimo studentams intensyvumas ir tvarka. </w:t>
      </w:r>
    </w:p>
    <w:p w14:paraId="571B6EAC" w14:textId="77777777" w:rsidR="00F42D15" w:rsidRPr="00A51756" w:rsidRDefault="00F42D15" w:rsidP="00AB4D9A">
      <w:pPr>
        <w:pStyle w:val="ListParagraph"/>
        <w:tabs>
          <w:tab w:val="left" w:pos="993"/>
        </w:tabs>
        <w:rPr>
          <w:b/>
        </w:rPr>
      </w:pPr>
    </w:p>
    <w:p w14:paraId="6D4FC0EA" w14:textId="77777777" w:rsidR="00F42D15" w:rsidRDefault="00F42D15" w:rsidP="00AB4D9A">
      <w:pPr>
        <w:pStyle w:val="ListParagraph"/>
        <w:tabs>
          <w:tab w:val="left" w:pos="993"/>
        </w:tabs>
        <w:jc w:val="center"/>
        <w:rPr>
          <w:b/>
        </w:rPr>
      </w:pPr>
    </w:p>
    <w:p w14:paraId="4583DC10" w14:textId="5271A83B" w:rsidR="00EB5095" w:rsidRDefault="00EB5095" w:rsidP="00A51756">
      <w:pPr>
        <w:pStyle w:val="ListParagraph"/>
        <w:ind w:left="360" w:firstLine="0"/>
        <w:jc w:val="center"/>
        <w:rPr>
          <w:b/>
        </w:rPr>
      </w:pPr>
      <w:r>
        <w:rPr>
          <w:b/>
        </w:rPr>
        <w:t>II SKYRIUS</w:t>
      </w:r>
    </w:p>
    <w:p w14:paraId="3F94CE17" w14:textId="7BD9C105" w:rsidR="008F7F07" w:rsidRPr="008F7F07" w:rsidRDefault="008F7F07" w:rsidP="008F7F07">
      <w:pPr>
        <w:ind w:firstLine="0"/>
        <w:jc w:val="center"/>
        <w:rPr>
          <w:b/>
        </w:rPr>
      </w:pPr>
      <w:r w:rsidRPr="008F7F07">
        <w:rPr>
          <w:b/>
        </w:rPr>
        <w:t>PASKAITŲ LANKOMUMAS</w:t>
      </w:r>
    </w:p>
    <w:p w14:paraId="4AB31ED3" w14:textId="2F82035B" w:rsidR="008F7F07" w:rsidRDefault="008F7F07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8F7F07">
        <w:t>Prieš laikant</w:t>
      </w:r>
      <w:r w:rsidR="00021B66">
        <w:t xml:space="preserve"> tarpinį ar galutinį </w:t>
      </w:r>
      <w:r w:rsidR="009471CA">
        <w:t>profesinio testavimo</w:t>
      </w:r>
      <w:r w:rsidRPr="008F7F07">
        <w:t xml:space="preserve"> egzaminą, privalo būti išklausyta visa </w:t>
      </w:r>
      <w:r w:rsidR="009471CA">
        <w:t>(100</w:t>
      </w:r>
      <w:r w:rsidR="009471CA">
        <w:rPr>
          <w:lang w:val="en-US"/>
        </w:rPr>
        <w:t>%</w:t>
      </w:r>
      <w:r w:rsidR="009471CA">
        <w:t xml:space="preserve">) iki testavimo pateikiama </w:t>
      </w:r>
      <w:r w:rsidRPr="008F7F07">
        <w:t>kurso medžiaga.</w:t>
      </w:r>
      <w:r w:rsidR="00021B66">
        <w:t xml:space="preserve"> </w:t>
      </w:r>
    </w:p>
    <w:p w14:paraId="54B24FA8" w14:textId="589D71D6" w:rsidR="00021B66" w:rsidRDefault="00021B66" w:rsidP="00AB4D9A">
      <w:pPr>
        <w:pStyle w:val="ListParagraph"/>
        <w:numPr>
          <w:ilvl w:val="1"/>
          <w:numId w:val="13"/>
        </w:numPr>
        <w:tabs>
          <w:tab w:val="left" w:pos="993"/>
        </w:tabs>
        <w:ind w:left="0" w:firstLine="567"/>
      </w:pPr>
      <w:r>
        <w:t>T</w:t>
      </w:r>
      <w:r w:rsidRPr="00021B66">
        <w:t>rūkstamos valandos</w:t>
      </w:r>
      <w:r>
        <w:t xml:space="preserve"> surenkamos studijuojant mokymosi literatūrą </w:t>
      </w:r>
      <w:r w:rsidR="00463E94">
        <w:t>individualiai, už kurią privaloma atsiskaityti dėstytojo konsultacijų metu išlaikant testą</w:t>
      </w:r>
      <w:r w:rsidR="009471CA">
        <w:rPr>
          <w:lang w:val="en-US"/>
        </w:rPr>
        <w:t>.</w:t>
      </w:r>
      <w:r w:rsidR="00463E94" w:rsidRPr="009471CA">
        <w:rPr>
          <w:lang w:val="en-US"/>
        </w:rPr>
        <w:t xml:space="preserve"> </w:t>
      </w:r>
      <w:r w:rsidR="00463E94" w:rsidRPr="00463E94">
        <w:t xml:space="preserve">Vienos konsultacijos metu atsiskaitoma </w:t>
      </w:r>
      <w:r w:rsidR="00463E94" w:rsidRPr="009471CA">
        <w:rPr>
          <w:lang w:val="en-US"/>
        </w:rPr>
        <w:t>u</w:t>
      </w:r>
      <w:r w:rsidR="00463E94">
        <w:t xml:space="preserve">ž vieną praleistą paskaitą. </w:t>
      </w:r>
    </w:p>
    <w:p w14:paraId="43A034CD" w14:textId="62EA1980" w:rsidR="00463E94" w:rsidRDefault="00463E94" w:rsidP="00AB4D9A">
      <w:pPr>
        <w:pStyle w:val="ListParagraph"/>
        <w:numPr>
          <w:ilvl w:val="1"/>
          <w:numId w:val="13"/>
        </w:numPr>
        <w:tabs>
          <w:tab w:val="left" w:pos="993"/>
        </w:tabs>
        <w:ind w:left="0" w:firstLine="567"/>
      </w:pPr>
      <w:r>
        <w:t xml:space="preserve">Jeigu studentas neatsiskaito visų praleistų paskaitų iki tarpinio arba galutinio </w:t>
      </w:r>
      <w:r w:rsidR="00D45C16">
        <w:t xml:space="preserve">profesinio testavimo </w:t>
      </w:r>
      <w:r>
        <w:t xml:space="preserve">egzamino, gali atsiskaityti trūkstamas temas (ne daugiau </w:t>
      </w:r>
      <w:r w:rsidR="00D45C16">
        <w:t>kaip</w:t>
      </w:r>
      <w:r>
        <w:t xml:space="preserve"> vieną) </w:t>
      </w:r>
      <w:r w:rsidR="00D21782">
        <w:t>PTE</w:t>
      </w:r>
      <w:r>
        <w:t xml:space="preserve"> egzamino laikymo ar pakartotinio laikymo metu. Tada galutinis egzaminas laikomas </w:t>
      </w:r>
      <w:r w:rsidR="003804DF">
        <w:t>kito</w:t>
      </w:r>
      <w:r>
        <w:t xml:space="preserve"> atsiskaitym</w:t>
      </w:r>
      <w:r w:rsidR="003804DF">
        <w:t>o metu</w:t>
      </w:r>
      <w:r>
        <w:t xml:space="preserve"> (pakartotini</w:t>
      </w:r>
      <w:r w:rsidR="003804DF">
        <w:t>s</w:t>
      </w:r>
      <w:r>
        <w:t xml:space="preserve"> egzaminų laikym</w:t>
      </w:r>
      <w:r w:rsidR="003804DF">
        <w:t>as</w:t>
      </w:r>
      <w:r>
        <w:t xml:space="preserve"> ar egzaminų laikym</w:t>
      </w:r>
      <w:r w:rsidR="003804DF">
        <w:t>as</w:t>
      </w:r>
      <w:r>
        <w:t xml:space="preserve"> komisijoje).</w:t>
      </w:r>
    </w:p>
    <w:p w14:paraId="491DACF2" w14:textId="5DB7F48C" w:rsidR="00463E94" w:rsidRDefault="00463E94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Studentų paskaitų lankomumas fiksuojamas „online“ registracijos sistemoje (panaudojant </w:t>
      </w:r>
      <w:r w:rsidR="00D45C16">
        <w:t>mano.vgtu.lt,  moodle.vgtu.lt</w:t>
      </w:r>
      <w:r w:rsidR="00847746">
        <w:t>,</w:t>
      </w:r>
      <w:r w:rsidR="00D45C16">
        <w:t xml:space="preserve"> </w:t>
      </w:r>
      <w:r>
        <w:t>google.sheet, ar pan.).</w:t>
      </w:r>
    </w:p>
    <w:p w14:paraId="3B001568" w14:textId="1A0016F9" w:rsidR="00463E94" w:rsidRDefault="00463E94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Per semestrą studentas negali praleisti daugiau paskaitų (įskaitant teorines paskaitas, pratybas ir laboratorinius darbus) nei studijų dalyko apimtis kreditais, t. y. jei modulis 3 kreditų </w:t>
      </w:r>
      <w:r>
        <w:lastRenderedPageBreak/>
        <w:t>apimties</w:t>
      </w:r>
      <w:r w:rsidR="00AB4D9A">
        <w:t>, tai</w:t>
      </w:r>
      <w:r>
        <w:t xml:space="preserve"> studentas gali praleisti </w:t>
      </w:r>
      <w:r w:rsidR="00AB4D9A">
        <w:t xml:space="preserve">ne daugiau </w:t>
      </w:r>
      <w:r>
        <w:t xml:space="preserve">3 </w:t>
      </w:r>
      <w:r w:rsidR="00AB4D9A">
        <w:t>paskaitų</w:t>
      </w:r>
      <w:r>
        <w:t xml:space="preserve">, jei 6 kreditų – </w:t>
      </w:r>
      <w:r w:rsidR="00AB4D9A">
        <w:t xml:space="preserve">ne daugiau </w:t>
      </w:r>
      <w:r>
        <w:t>6</w:t>
      </w:r>
      <w:r w:rsidR="00AB4D9A">
        <w:t xml:space="preserve"> paskaitų</w:t>
      </w:r>
      <w:r>
        <w:t xml:space="preserve">, jei 9 kreditų – </w:t>
      </w:r>
      <w:r w:rsidR="00AB4D9A">
        <w:t xml:space="preserve">ne daugiau </w:t>
      </w:r>
      <w:r>
        <w:t>9</w:t>
      </w:r>
      <w:r w:rsidR="00AB4D9A">
        <w:t xml:space="preserve"> paskaitų</w:t>
      </w:r>
      <w:r>
        <w:t>.</w:t>
      </w:r>
    </w:p>
    <w:p w14:paraId="566D55A9" w14:textId="77777777" w:rsidR="006D5B28" w:rsidRDefault="006D5B28" w:rsidP="00847746">
      <w:pPr>
        <w:pStyle w:val="ListParagraph"/>
        <w:ind w:left="360" w:firstLine="0"/>
        <w:jc w:val="center"/>
        <w:rPr>
          <w:b/>
        </w:rPr>
      </w:pPr>
    </w:p>
    <w:p w14:paraId="1CCB0D20" w14:textId="7C68AACC" w:rsidR="00847746" w:rsidRDefault="00847746" w:rsidP="00847746">
      <w:pPr>
        <w:pStyle w:val="ListParagraph"/>
        <w:ind w:left="360" w:firstLine="0"/>
        <w:jc w:val="center"/>
        <w:rPr>
          <w:b/>
        </w:rPr>
      </w:pPr>
      <w:r>
        <w:rPr>
          <w:b/>
        </w:rPr>
        <w:t>III SKYRIUS</w:t>
      </w:r>
    </w:p>
    <w:p w14:paraId="2B6E03F8" w14:textId="597151AB" w:rsidR="001D088F" w:rsidRPr="008F7F07" w:rsidRDefault="00847746" w:rsidP="006648FE">
      <w:pPr>
        <w:ind w:firstLine="0"/>
        <w:jc w:val="center"/>
        <w:rPr>
          <w:b/>
        </w:rPr>
      </w:pPr>
      <w:r>
        <w:rPr>
          <w:b/>
        </w:rPr>
        <w:t xml:space="preserve">PROFESINIO TESTAVIMO </w:t>
      </w:r>
      <w:r w:rsidR="006648FE">
        <w:rPr>
          <w:b/>
        </w:rPr>
        <w:t xml:space="preserve">MODULIŲ </w:t>
      </w:r>
      <w:r w:rsidR="001D088F" w:rsidRPr="008F7F07">
        <w:rPr>
          <w:b/>
        </w:rPr>
        <w:t>ATSISKAITYMO FORMOS IR VERTINIMAI</w:t>
      </w:r>
    </w:p>
    <w:p w14:paraId="369B110B" w14:textId="765510AD" w:rsidR="001D088F" w:rsidRDefault="001D088F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1D088F">
        <w:t>Per pirmąją studijų dalyko paskaitą dėstytojas studentams paskelbi</w:t>
      </w:r>
      <w:r w:rsidR="00BA0557">
        <w:t>a</w:t>
      </w:r>
      <w:r w:rsidRPr="001D088F">
        <w:t xml:space="preserve"> studijų dalyko (modulio) programą, rekomenduojamos literatūros sąrašą, numatomus studijų rezultatus, atsiskaitymų kiekį, formą, jų tvarką</w:t>
      </w:r>
      <w:r w:rsidR="00AB4D9A">
        <w:t>,</w:t>
      </w:r>
      <w:r w:rsidRPr="001D088F">
        <w:t xml:space="preserve"> preliminarias datas</w:t>
      </w:r>
      <w:r w:rsidR="00D11418">
        <w:t xml:space="preserve"> ir profesiniam testavimui keliamus reikalavimus</w:t>
      </w:r>
      <w:r w:rsidRPr="001D088F">
        <w:t xml:space="preserve">. </w:t>
      </w:r>
    </w:p>
    <w:p w14:paraId="212E478D" w14:textId="6AC2BB02" w:rsidR="00D810BB" w:rsidRPr="00D143E6" w:rsidRDefault="00D810BB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  <w:rPr>
          <w:b/>
        </w:rPr>
      </w:pPr>
      <w:r>
        <w:t>Universiteto studentų profesiniams pasiekimams vertinti naudojamas testavimas, o testo rezultatai vertinami procentine teisingų atsakymų išraiška. Numatyta, kad bet kurio testavimo slenkstinis įvertinimas yra ≥75 %</w:t>
      </w:r>
    </w:p>
    <w:p w14:paraId="75E9A590" w14:textId="3488A666" w:rsidR="001D088F" w:rsidRDefault="001D088F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1D088F">
        <w:t>Kiekvieno studijų dalyko (</w:t>
      </w:r>
      <w:r w:rsidR="00D21782">
        <w:t>PTE</w:t>
      </w:r>
      <w:r>
        <w:t xml:space="preserve"> </w:t>
      </w:r>
      <w:r w:rsidRPr="001D088F">
        <w:t>modulio) studijos baigi</w:t>
      </w:r>
      <w:r w:rsidR="006648FE">
        <w:t>amos galutiniu atsiskaitymu</w:t>
      </w:r>
      <w:r w:rsidR="00BA0557">
        <w:t xml:space="preserve"> </w:t>
      </w:r>
      <w:r w:rsidR="00D21782">
        <w:t>PTE</w:t>
      </w:r>
      <w:r w:rsidR="00D810BB">
        <w:t>, kurio į</w:t>
      </w:r>
      <w:r w:rsidR="00BA0557">
        <w:t xml:space="preserve">vertinimas yra </w:t>
      </w:r>
      <w:r w:rsidR="00D810BB">
        <w:t>galutinio įvertinimo dalis.</w:t>
      </w:r>
    </w:p>
    <w:p w14:paraId="20E61ECF" w14:textId="623526DE" w:rsidR="006648FE" w:rsidRDefault="001D088F" w:rsidP="00AB4D9A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1D088F">
        <w:t xml:space="preserve">Tarpinių </w:t>
      </w:r>
      <w:r w:rsidR="00D21782">
        <w:t>PTE</w:t>
      </w:r>
      <w:r w:rsidR="006648FE">
        <w:t xml:space="preserve"> </w:t>
      </w:r>
      <w:r w:rsidRPr="001D088F">
        <w:t>atsiskaitymų ir galutinių</w:t>
      </w:r>
      <w:r w:rsidR="006648FE">
        <w:t xml:space="preserve"> </w:t>
      </w:r>
      <w:r w:rsidR="00D21782">
        <w:t>PTE</w:t>
      </w:r>
      <w:r w:rsidRPr="001D088F">
        <w:t xml:space="preserve"> atsiskaitymų rašto darbai turi būti tvarkingi, </w:t>
      </w:r>
      <w:r w:rsidR="006648FE">
        <w:t>atsakymai pažymėti dėstytojo nurodytu būdu.</w:t>
      </w:r>
    </w:p>
    <w:p w14:paraId="0A6EF4C6" w14:textId="77777777" w:rsidR="00D810BB" w:rsidRDefault="00D810BB" w:rsidP="00AB4D9A">
      <w:pPr>
        <w:pStyle w:val="ListParagraph"/>
        <w:tabs>
          <w:tab w:val="left" w:pos="993"/>
        </w:tabs>
        <w:rPr>
          <w:b/>
        </w:rPr>
      </w:pPr>
    </w:p>
    <w:p w14:paraId="1182F59C" w14:textId="37F55253" w:rsidR="00D810BB" w:rsidRDefault="00D810BB" w:rsidP="00A51756">
      <w:pPr>
        <w:pStyle w:val="ListParagraph"/>
        <w:ind w:left="360" w:firstLine="0"/>
        <w:jc w:val="center"/>
        <w:rPr>
          <w:b/>
        </w:rPr>
      </w:pPr>
      <w:r>
        <w:rPr>
          <w:b/>
        </w:rPr>
        <w:t>IV SKYRIUS</w:t>
      </w:r>
    </w:p>
    <w:p w14:paraId="3D31372D" w14:textId="3BE5E69B" w:rsidR="006648FE" w:rsidRPr="00D810BB" w:rsidRDefault="00D810BB" w:rsidP="006648FE">
      <w:pPr>
        <w:ind w:firstLine="0"/>
        <w:jc w:val="center"/>
        <w:rPr>
          <w:b/>
        </w:rPr>
      </w:pPr>
      <w:r w:rsidRPr="00D810BB">
        <w:rPr>
          <w:b/>
        </w:rPr>
        <w:t>PROFESINIO TESTAVIMO TARPINIŲ ATSISKAITYMŲ ORGANIZAVIMAS</w:t>
      </w:r>
    </w:p>
    <w:p w14:paraId="1F154015" w14:textId="56608308" w:rsidR="00A767C2" w:rsidRDefault="006648FE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Tarpinių atsiskaitymų skaičius priklauso nuo modulio kreditų skaičiaus: 3 kreditų apimties modulyje privalomas 1 tarpinis atsiskaitymas, 6 kreditų – 2 tarpiniai atsiskaitymai, 9 kreditų – 3 tarpiniai atsiskaitymai</w:t>
      </w:r>
      <w:r w:rsidR="003804DF">
        <w:t xml:space="preserve"> ir t.t</w:t>
      </w:r>
      <w:r>
        <w:t>.</w:t>
      </w:r>
    </w:p>
    <w:p w14:paraId="520C7B9A" w14:textId="7920EEFD" w:rsidR="00A767C2" w:rsidRDefault="006648FE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1A3A89">
        <w:t>Tarpiniai</w:t>
      </w:r>
      <w:r>
        <w:t xml:space="preserve"> </w:t>
      </w:r>
      <w:r w:rsidR="00D21782">
        <w:t>PTE</w:t>
      </w:r>
      <w:r w:rsidRPr="001A3A89">
        <w:t xml:space="preserve"> atsiskaitymai organizuojami pagal studijų dalyko (modulio) kortelėje numatytą atsiskaitymų grafiką. </w:t>
      </w:r>
    </w:p>
    <w:p w14:paraId="4A162B08" w14:textId="07C6B47E" w:rsidR="00A767C2" w:rsidRDefault="006648FE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1A3A89">
        <w:t xml:space="preserve">Tarpiniai </w:t>
      </w:r>
      <w:r w:rsidR="00D21782">
        <w:t>PTE</w:t>
      </w:r>
      <w:r>
        <w:t xml:space="preserve"> </w:t>
      </w:r>
      <w:r w:rsidRPr="001A3A89">
        <w:t xml:space="preserve">atsiskaitymai turi būti atlikti ir už juos atsiskaityta iki sesijos pradžios. Studentams, per tarpinius </w:t>
      </w:r>
      <w:r w:rsidR="00D21782">
        <w:t>PTE</w:t>
      </w:r>
      <w:r>
        <w:t xml:space="preserve"> atsiskaitymus </w:t>
      </w:r>
      <w:r w:rsidRPr="001A3A89">
        <w:t>nepasiekusiems slenkstinio pasiekimų lygmens</w:t>
      </w:r>
      <w:r>
        <w:t xml:space="preserve"> </w:t>
      </w:r>
      <w:r w:rsidR="002243BF">
        <w:br/>
      </w:r>
      <w:r>
        <w:t>(≥75 %)</w:t>
      </w:r>
      <w:r w:rsidRPr="001A3A89">
        <w:t>, turi būti sudaroma galim</w:t>
      </w:r>
      <w:r>
        <w:t>ybė pakartotinai atsiskaityti.</w:t>
      </w:r>
    </w:p>
    <w:p w14:paraId="2ADCDBAB" w14:textId="2DDBD8E4" w:rsidR="006648FE" w:rsidRDefault="006648FE" w:rsidP="00F148C2">
      <w:pPr>
        <w:pStyle w:val="ListParagraph"/>
        <w:numPr>
          <w:ilvl w:val="1"/>
          <w:numId w:val="13"/>
        </w:numPr>
        <w:tabs>
          <w:tab w:val="left" w:pos="1134"/>
        </w:tabs>
        <w:ind w:left="0" w:firstLine="567"/>
      </w:pPr>
      <w:r>
        <w:t xml:space="preserve">Neišlaikius tarpinio </w:t>
      </w:r>
      <w:r w:rsidR="00D21782">
        <w:t>PTE</w:t>
      </w:r>
      <w:r>
        <w:t xml:space="preserve"> atsiskaitymo, pirmą kartą </w:t>
      </w:r>
      <w:r w:rsidR="003804DF">
        <w:t xml:space="preserve">pakartotinai </w:t>
      </w:r>
      <w:r>
        <w:t>perlaikyti galima dėstytojo paskirtu laiku iki egzaminų sesijos pradžios (nemokamai).</w:t>
      </w:r>
    </w:p>
    <w:p w14:paraId="5B810406" w14:textId="667074A8" w:rsidR="00480E89" w:rsidRDefault="006648FE" w:rsidP="00F148C2">
      <w:pPr>
        <w:pStyle w:val="ListParagraph"/>
        <w:numPr>
          <w:ilvl w:val="1"/>
          <w:numId w:val="13"/>
        </w:numPr>
        <w:tabs>
          <w:tab w:val="left" w:pos="1134"/>
        </w:tabs>
        <w:ind w:left="0" w:firstLine="567"/>
      </w:pPr>
      <w:r>
        <w:t xml:space="preserve">Neišlaikius tarpinio </w:t>
      </w:r>
      <w:r w:rsidR="00D21782">
        <w:t>PTE</w:t>
      </w:r>
      <w:r w:rsidR="00480E89">
        <w:t xml:space="preserve"> </w:t>
      </w:r>
      <w:r>
        <w:t>atsiskaitymo antrą kartą, studentas privalo pakartoti modulio medžiagą (dėstytojo konsultacijos, papildomas testas moodle.vgtu.lt sistemoje ar pan.) ir tik tada turi teisę pakartotinai atsiskaityti</w:t>
      </w:r>
      <w:r w:rsidR="003804DF">
        <w:t xml:space="preserve">. Už pakartotinį </w:t>
      </w:r>
      <w:r w:rsidR="00D11418">
        <w:t xml:space="preserve">tarpinio PTE </w:t>
      </w:r>
      <w:r w:rsidR="003804DF">
        <w:t>atsiskaitymą imamas 30 Eur mokestis</w:t>
      </w:r>
      <w:r>
        <w:t xml:space="preserve">. </w:t>
      </w:r>
    </w:p>
    <w:p w14:paraId="7347F850" w14:textId="61CF57E7" w:rsidR="002243BF" w:rsidRDefault="006648FE" w:rsidP="00F148C2">
      <w:pPr>
        <w:pStyle w:val="ListParagraph"/>
        <w:numPr>
          <w:ilvl w:val="1"/>
          <w:numId w:val="13"/>
        </w:numPr>
        <w:tabs>
          <w:tab w:val="left" w:pos="1134"/>
        </w:tabs>
        <w:ind w:left="0" w:firstLine="567"/>
      </w:pPr>
      <w:r>
        <w:t xml:space="preserve">Antras </w:t>
      </w:r>
      <w:r w:rsidR="00480E89">
        <w:t xml:space="preserve">pakartotinis tarpinio </w:t>
      </w:r>
      <w:r w:rsidR="00D21782">
        <w:t>PTE</w:t>
      </w:r>
      <w:r w:rsidR="00480E89">
        <w:t xml:space="preserve"> </w:t>
      </w:r>
      <w:r>
        <w:t>atsiskaitym</w:t>
      </w:r>
      <w:r w:rsidR="00480E89">
        <w:t xml:space="preserve">as </w:t>
      </w:r>
      <w:r>
        <w:t>vyksta egz</w:t>
      </w:r>
      <w:r w:rsidR="00480E89">
        <w:t xml:space="preserve">amino metu per egzaminų sesiją. </w:t>
      </w:r>
      <w:r>
        <w:t xml:space="preserve">Tokiu atveju, pagrindinis </w:t>
      </w:r>
      <w:r w:rsidR="00D21782">
        <w:t>PTE</w:t>
      </w:r>
      <w:r>
        <w:t xml:space="preserve"> egzaminas laikomas per pakartotinį egzaminų laikymą. </w:t>
      </w:r>
    </w:p>
    <w:p w14:paraId="451F3ABC" w14:textId="21767332" w:rsidR="006648FE" w:rsidRDefault="006648FE" w:rsidP="00F148C2">
      <w:pPr>
        <w:pStyle w:val="ListParagraph"/>
        <w:numPr>
          <w:ilvl w:val="0"/>
          <w:numId w:val="13"/>
        </w:numPr>
        <w:tabs>
          <w:tab w:val="left" w:pos="1134"/>
        </w:tabs>
        <w:ind w:left="0" w:firstLine="567"/>
      </w:pPr>
      <w:r>
        <w:t xml:space="preserve">Tarpinių </w:t>
      </w:r>
      <w:r w:rsidR="009D53C6">
        <w:t>PTE</w:t>
      </w:r>
      <w:r>
        <w:t xml:space="preserve"> atsiskaitymų rezultatai</w:t>
      </w:r>
      <w:r w:rsidR="00480E89">
        <w:t xml:space="preserve"> ir rašto darbai (testai)</w:t>
      </w:r>
      <w:r>
        <w:t xml:space="preserve"> saugomi studento (</w:t>
      </w:r>
      <w:r w:rsidR="009D53C6">
        <w:t xml:space="preserve">atitinkamos programos </w:t>
      </w:r>
      <w:r>
        <w:t>mokinio) byloje.</w:t>
      </w:r>
    </w:p>
    <w:p w14:paraId="64F219A3" w14:textId="0CE3D22D" w:rsidR="006648FE" w:rsidRDefault="006648FE" w:rsidP="006648FE">
      <w:pPr>
        <w:ind w:firstLine="0"/>
        <w:rPr>
          <w:b/>
        </w:rPr>
      </w:pPr>
    </w:p>
    <w:p w14:paraId="5254062D" w14:textId="041423FB" w:rsidR="009D53C6" w:rsidRDefault="009D53C6" w:rsidP="009D53C6">
      <w:pPr>
        <w:pStyle w:val="ListParagraph"/>
        <w:ind w:left="360" w:firstLine="0"/>
        <w:jc w:val="center"/>
        <w:rPr>
          <w:b/>
        </w:rPr>
      </w:pPr>
      <w:r>
        <w:rPr>
          <w:b/>
        </w:rPr>
        <w:t>V SKYRIUS</w:t>
      </w:r>
    </w:p>
    <w:p w14:paraId="5521E54F" w14:textId="45DE276A" w:rsidR="00480E89" w:rsidRDefault="009D53C6" w:rsidP="00480E89">
      <w:pPr>
        <w:ind w:firstLine="0"/>
        <w:jc w:val="center"/>
        <w:rPr>
          <w:b/>
        </w:rPr>
      </w:pPr>
      <w:r>
        <w:rPr>
          <w:b/>
        </w:rPr>
        <w:t>PROFESINIO TESTAVIMO GALUTINIŲ</w:t>
      </w:r>
      <w:r w:rsidRPr="008F7F07">
        <w:rPr>
          <w:b/>
        </w:rPr>
        <w:t xml:space="preserve"> ATSISKAITYMŲ ORGANIZAVIMAS</w:t>
      </w:r>
    </w:p>
    <w:p w14:paraId="2F694B93" w14:textId="1F45D13B" w:rsidR="00480E89" w:rsidRPr="00A51756" w:rsidRDefault="00480E89" w:rsidP="00480E89">
      <w:pPr>
        <w:ind w:firstLine="0"/>
        <w:jc w:val="center"/>
        <w:rPr>
          <w:b/>
        </w:rPr>
      </w:pPr>
      <w:r w:rsidRPr="00A51756">
        <w:rPr>
          <w:b/>
        </w:rPr>
        <w:t>Galutinių atsiskaitymų organizavimas ir vykdymas</w:t>
      </w:r>
    </w:p>
    <w:p w14:paraId="2E9562C3" w14:textId="68CF25E9" w:rsidR="00480E89" w:rsidRPr="00A51756" w:rsidRDefault="00480E89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Galutinį </w:t>
      </w:r>
      <w:r w:rsidR="00D21782">
        <w:t>PT</w:t>
      </w:r>
      <w:r w:rsidR="00BD7807">
        <w:t>E</w:t>
      </w:r>
      <w:r>
        <w:t xml:space="preserve"> egzaminą galima laikyti tik išlaikius visus </w:t>
      </w:r>
      <w:r w:rsidRPr="001A3A89">
        <w:t xml:space="preserve">tarpinius </w:t>
      </w:r>
      <w:r w:rsidR="00D21782" w:rsidRPr="00B70160">
        <w:t>PT</w:t>
      </w:r>
      <w:r w:rsidR="00BD7807" w:rsidRPr="00B70160">
        <w:t>T</w:t>
      </w:r>
      <w:r>
        <w:t xml:space="preserve"> atsiskaitymus</w:t>
      </w:r>
      <w:r w:rsidRPr="00A51756">
        <w:t>.</w:t>
      </w:r>
    </w:p>
    <w:p w14:paraId="7585063D" w14:textId="480F15F6" w:rsidR="00480E89" w:rsidRDefault="00480E89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2743BE">
        <w:t xml:space="preserve">Galutinis </w:t>
      </w:r>
      <w:r w:rsidR="00D21782">
        <w:t>PT</w:t>
      </w:r>
      <w:r w:rsidR="00BD7807">
        <w:t>E</w:t>
      </w:r>
      <w:r w:rsidRPr="002743BE">
        <w:t xml:space="preserve"> egzaminas laikomas </w:t>
      </w:r>
      <w:r>
        <w:t>E1 egzaminų sesijos metu</w:t>
      </w:r>
      <w:r w:rsidRPr="002743BE">
        <w:t xml:space="preserve"> </w:t>
      </w:r>
      <w:r>
        <w:t>arba per</w:t>
      </w:r>
      <w:r w:rsidRPr="002743BE">
        <w:t xml:space="preserve"> pasku</w:t>
      </w:r>
      <w:r>
        <w:t>tinę semestro paskaitą.</w:t>
      </w:r>
    </w:p>
    <w:p w14:paraId="0F0EF828" w14:textId="4F32CCB9" w:rsidR="00AA27EC" w:rsidRDefault="00AA27EC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Galutinį </w:t>
      </w:r>
      <w:r w:rsidR="00D21782">
        <w:t>PT</w:t>
      </w:r>
      <w:r w:rsidR="00BD7807">
        <w:t>E</w:t>
      </w:r>
      <w:r>
        <w:t xml:space="preserve"> egzamino darbą (testą) sudaro ne</w:t>
      </w:r>
      <w:r w:rsidR="00F148C2">
        <w:t xml:space="preserve"> </w:t>
      </w:r>
      <w:r>
        <w:t>mažiau nei 40 klausimų.</w:t>
      </w:r>
    </w:p>
    <w:p w14:paraId="217BE3D1" w14:textId="29301F3D" w:rsidR="00480E89" w:rsidRDefault="00480E89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Galutinių </w:t>
      </w:r>
      <w:r w:rsidR="00BD7807">
        <w:t>PTE</w:t>
      </w:r>
      <w:r>
        <w:t xml:space="preserve"> atsiskaitymų rezultatai (procentais) įvedami į informacinę VGTU sistemą. </w:t>
      </w:r>
    </w:p>
    <w:p w14:paraId="2EF91B92" w14:textId="7067D22A" w:rsidR="00480E89" w:rsidRDefault="00480E89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8F7F07">
        <w:lastRenderedPageBreak/>
        <w:t xml:space="preserve">Esant sudėtiniam </w:t>
      </w:r>
      <w:r w:rsidR="00BD7807">
        <w:t>profesinio testavimo dalykui</w:t>
      </w:r>
      <w:r w:rsidRPr="008F7F07">
        <w:t xml:space="preserve">, kurio medžiaga dėstoma per kelis SDM, galutinį </w:t>
      </w:r>
      <w:r w:rsidR="00D21782">
        <w:t>PTE</w:t>
      </w:r>
      <w:r w:rsidRPr="008F7F07">
        <w:t xml:space="preserve"> įvertinimą įrašo paskutinis dėstytojas.</w:t>
      </w:r>
    </w:p>
    <w:p w14:paraId="52BC2127" w14:textId="7862A1B5" w:rsidR="00CD3AF4" w:rsidRPr="00CD3AF4" w:rsidRDefault="00CD3AF4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Galutinio </w:t>
      </w:r>
      <w:r w:rsidRPr="00CD3AF4">
        <w:t>PTE atsiskaitymų rezultatai ir rašto darbai (testai) saugomi studento (atitinkamos programos mokinio) byloje.</w:t>
      </w:r>
    </w:p>
    <w:p w14:paraId="59F69A41" w14:textId="77777777" w:rsidR="00CD3AF4" w:rsidRDefault="00CD3AF4" w:rsidP="00CD3AF4">
      <w:pPr>
        <w:pStyle w:val="ListParagraph"/>
        <w:ind w:left="360" w:firstLine="0"/>
      </w:pPr>
    </w:p>
    <w:p w14:paraId="5BF80698" w14:textId="77777777" w:rsidR="00480E89" w:rsidRDefault="00480E89" w:rsidP="00A51756">
      <w:pPr>
        <w:ind w:firstLine="0"/>
        <w:jc w:val="both"/>
        <w:rPr>
          <w:b/>
        </w:rPr>
      </w:pPr>
    </w:p>
    <w:p w14:paraId="3573CF0C" w14:textId="7ED69972" w:rsidR="00AA27EC" w:rsidRPr="00A51756" w:rsidRDefault="00AA27EC" w:rsidP="00AA27EC">
      <w:pPr>
        <w:ind w:firstLine="0"/>
        <w:jc w:val="center"/>
        <w:rPr>
          <w:b/>
        </w:rPr>
      </w:pPr>
      <w:r w:rsidRPr="00A51756">
        <w:rPr>
          <w:b/>
        </w:rPr>
        <w:t>Pakartotinis galutinių atsiskaitymų organizavimas</w:t>
      </w:r>
    </w:p>
    <w:p w14:paraId="36DABD07" w14:textId="7668551C" w:rsidR="00AA27EC" w:rsidRDefault="00AA27EC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2743BE">
        <w:t>Studentai, pasibaigus sesijai, nepasiekę slenkstinio pasiekimų lygmens</w:t>
      </w:r>
      <w:r w:rsidR="00BD7807">
        <w:t>,</w:t>
      </w:r>
      <w:r w:rsidRPr="002743BE">
        <w:t xml:space="preserve"> gali pakartotinai atsiskaityti pakartotinių galutinių atsiskaitymų tvarkaraštyje numatytu laikotarpiu VGTU studijų grafike numatyt</w:t>
      </w:r>
      <w:r w:rsidR="00BD7807">
        <w:t>ais</w:t>
      </w:r>
      <w:r w:rsidRPr="002743BE">
        <w:t xml:space="preserve"> termin</w:t>
      </w:r>
      <w:r w:rsidR="00BD7807">
        <w:t>ais</w:t>
      </w:r>
      <w:r w:rsidRPr="002743BE">
        <w:t>.</w:t>
      </w:r>
    </w:p>
    <w:p w14:paraId="00927BD4" w14:textId="62A09FBD" w:rsidR="00AA27EC" w:rsidRPr="002743BE" w:rsidRDefault="00AA27EC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 xml:space="preserve">Studentai, norintys atlikti </w:t>
      </w:r>
      <w:r w:rsidR="00D21782">
        <w:t>PTE</w:t>
      </w:r>
      <w:r>
        <w:t xml:space="preserve"> galutinius atsiskaitymus komisijose, turi parašyti prašymą dekanui ir už kiekvieną studijų dalyko (modulio) atsiskaitymą sumokėti Senato nustatytą įmoką. Studentui sumokėjus įmoką, dekanatas parengia dekano potvarkį dėl galutinio atsiskaitymo (GA) komisijose.</w:t>
      </w:r>
    </w:p>
    <w:p w14:paraId="2ED4EEA1" w14:textId="1DE9FD85" w:rsidR="00480E89" w:rsidRDefault="00480E89" w:rsidP="006648FE">
      <w:pPr>
        <w:ind w:firstLine="0"/>
        <w:rPr>
          <w:b/>
        </w:rPr>
      </w:pPr>
    </w:p>
    <w:p w14:paraId="4E9FF194" w14:textId="42DFD699" w:rsidR="00BD7807" w:rsidRDefault="00BD7807" w:rsidP="00BD7807">
      <w:pPr>
        <w:pStyle w:val="ListParagraph"/>
        <w:ind w:left="360" w:firstLine="0"/>
        <w:jc w:val="center"/>
        <w:rPr>
          <w:b/>
        </w:rPr>
      </w:pPr>
      <w:r>
        <w:rPr>
          <w:b/>
        </w:rPr>
        <w:t>VI SKYRIUS</w:t>
      </w:r>
    </w:p>
    <w:p w14:paraId="593CC8D2" w14:textId="0C9A5F7E" w:rsidR="00AA27EC" w:rsidRDefault="00BD7807" w:rsidP="00AA27EC">
      <w:pPr>
        <w:ind w:firstLine="0"/>
        <w:jc w:val="center"/>
        <w:rPr>
          <w:b/>
        </w:rPr>
      </w:pPr>
      <w:r>
        <w:rPr>
          <w:b/>
        </w:rPr>
        <w:t xml:space="preserve">PROFESINIO TESTAVIMO </w:t>
      </w:r>
      <w:r w:rsidR="00AA27EC">
        <w:rPr>
          <w:b/>
        </w:rPr>
        <w:t>ĮVERTINIMŲ INTEGRAVIMAS Į BENDRĄ VERTINIMO SISTEMĄ</w:t>
      </w:r>
    </w:p>
    <w:p w14:paraId="7F853013" w14:textId="03A077C1" w:rsidR="001D0FE7" w:rsidRDefault="001D0FE7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Profesinio testavimo moduliuose numatyti tarpiniai (PTT) įvertinimai neįtraukiami į bendrą galutinį įvertinimą (PTG).</w:t>
      </w:r>
    </w:p>
    <w:p w14:paraId="6D64E3F4" w14:textId="77777777" w:rsidR="001D0FE7" w:rsidRDefault="001D0FE7" w:rsidP="00F148C2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Profesinio testavimo modulio Galutinis įvertinimas (GĮ) apskaičiuojamas taip:</w:t>
      </w:r>
    </w:p>
    <w:p w14:paraId="126A71AB" w14:textId="77777777" w:rsidR="001D0FE7" w:rsidRDefault="001D0FE7" w:rsidP="00A51756">
      <w:pPr>
        <w:pStyle w:val="ListParagraph"/>
        <w:ind w:left="360" w:firstLine="0"/>
      </w:pPr>
    </w:p>
    <w:p w14:paraId="42892F73" w14:textId="46046ABD" w:rsidR="001D0FE7" w:rsidRDefault="001D0FE7" w:rsidP="00A51756">
      <w:pPr>
        <w:pStyle w:val="ListParagraph"/>
        <w:ind w:left="360" w:firstLine="0"/>
        <w:jc w:val="center"/>
      </w:pPr>
      <w:r>
        <w:t>GĮ = kPTG/100 + (k</w:t>
      </w:r>
      <w:r w:rsidRPr="00A51756">
        <w:rPr>
          <w:vertAlign w:val="subscript"/>
        </w:rPr>
        <w:t>1</w:t>
      </w:r>
      <w:r>
        <w:t>TA</w:t>
      </w:r>
      <w:r w:rsidRPr="00A51756">
        <w:rPr>
          <w:vertAlign w:val="subscript"/>
        </w:rPr>
        <w:t>n</w:t>
      </w:r>
      <w:r>
        <w:t xml:space="preserve"> +....+k</w:t>
      </w:r>
      <w:r w:rsidRPr="00A51756">
        <w:rPr>
          <w:vertAlign w:val="subscript"/>
        </w:rPr>
        <w:t>n</w:t>
      </w:r>
      <w:r>
        <w:t>TA</w:t>
      </w:r>
      <w:r w:rsidRPr="00A51756">
        <w:rPr>
          <w:vertAlign w:val="subscript"/>
        </w:rPr>
        <w:t>n</w:t>
      </w:r>
      <w:r>
        <w:t>) + k</w:t>
      </w:r>
      <w:r w:rsidRPr="00A51756">
        <w:rPr>
          <w:vertAlign w:val="subscript"/>
        </w:rPr>
        <w:t>m</w:t>
      </w:r>
      <w:r>
        <w:t>GA,</w:t>
      </w:r>
    </w:p>
    <w:p w14:paraId="327FBEAF" w14:textId="77777777" w:rsidR="001D0FE7" w:rsidRDefault="001D0FE7" w:rsidP="00A51756">
      <w:pPr>
        <w:pStyle w:val="ListParagraph"/>
        <w:ind w:left="360" w:firstLine="0"/>
        <w:jc w:val="center"/>
      </w:pPr>
    </w:p>
    <w:p w14:paraId="47070FF0" w14:textId="77777777" w:rsidR="001D0FE7" w:rsidRDefault="001D0FE7" w:rsidP="00A51756">
      <w:pPr>
        <w:pStyle w:val="ListParagraph"/>
        <w:ind w:left="360" w:firstLine="0"/>
      </w:pPr>
      <w:r>
        <w:t>čia</w:t>
      </w:r>
      <w:r>
        <w:tab/>
        <w:t>GĮ – galutinis įvertinimas;</w:t>
      </w:r>
    </w:p>
    <w:p w14:paraId="23606E23" w14:textId="77777777" w:rsidR="004A58EA" w:rsidRDefault="001D0FE7" w:rsidP="00A51756">
      <w:pPr>
        <w:pStyle w:val="ListParagraph"/>
        <w:ind w:left="360" w:firstLine="936"/>
      </w:pPr>
      <w:r>
        <w:t>k, k</w:t>
      </w:r>
      <w:r w:rsidRPr="00A51756">
        <w:rPr>
          <w:vertAlign w:val="subscript"/>
        </w:rPr>
        <w:t>1</w:t>
      </w:r>
      <w:r>
        <w:t>,  k</w:t>
      </w:r>
      <w:r w:rsidRPr="00A51756">
        <w:rPr>
          <w:vertAlign w:val="subscript"/>
        </w:rPr>
        <w:t>n</w:t>
      </w:r>
      <w:r>
        <w:t>, k</w:t>
      </w:r>
      <w:r w:rsidRPr="00A51756">
        <w:rPr>
          <w:vertAlign w:val="subscript"/>
        </w:rPr>
        <w:t>m</w:t>
      </w:r>
      <w:r>
        <w:t xml:space="preserve"> – svorio koeficientas, nurodytas studijų dalyko (modulio) kortelėje; </w:t>
      </w:r>
    </w:p>
    <w:p w14:paraId="274E707F" w14:textId="77777777" w:rsidR="004A58EA" w:rsidRDefault="001D0FE7" w:rsidP="00A51756">
      <w:pPr>
        <w:pStyle w:val="ListParagraph"/>
        <w:ind w:left="360" w:firstLine="936"/>
      </w:pPr>
      <w:r>
        <w:t>TA</w:t>
      </w:r>
      <w:r w:rsidRPr="00A51756">
        <w:rPr>
          <w:vertAlign w:val="subscript"/>
        </w:rPr>
        <w:t>1</w:t>
      </w:r>
      <w:r>
        <w:t>, TA</w:t>
      </w:r>
      <w:r w:rsidRPr="00A51756">
        <w:rPr>
          <w:vertAlign w:val="subscript"/>
        </w:rPr>
        <w:t>n</w:t>
      </w:r>
      <w:r>
        <w:t xml:space="preserve"> – tarpinių atsiskaitymų įvertinimai; </w:t>
      </w:r>
    </w:p>
    <w:p w14:paraId="48C8DF05" w14:textId="456DFB4C" w:rsidR="004B49EF" w:rsidRDefault="001D0FE7" w:rsidP="00A51756">
      <w:pPr>
        <w:pStyle w:val="ListParagraph"/>
        <w:ind w:left="360" w:firstLine="936"/>
      </w:pPr>
      <w:r>
        <w:t>GA – galutinio atsiskaitymo įvertinimas.</w:t>
      </w:r>
    </w:p>
    <w:p w14:paraId="19A49034" w14:textId="4FA57F00" w:rsidR="00AA27EC" w:rsidRDefault="00AA27EC" w:rsidP="006648FE">
      <w:pPr>
        <w:ind w:firstLine="0"/>
        <w:rPr>
          <w:b/>
        </w:rPr>
      </w:pPr>
    </w:p>
    <w:p w14:paraId="206E39D2" w14:textId="696592C8" w:rsidR="004A58EA" w:rsidRDefault="004A58EA" w:rsidP="00D905F3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Studento semestro metu sukauptas vertinimas už studijų dalyke (modulyje) numatytas tarpines užduotis gali sudaryti nuo 30 % iki 70 % (imtinai) galutinio įvertinimo (GĮ).</w:t>
      </w:r>
    </w:p>
    <w:p w14:paraId="78BCF8BE" w14:textId="3E8BC98A" w:rsidR="004A58EA" w:rsidRDefault="004A58EA" w:rsidP="00D905F3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Studento galutinio profesinio testavimo egzamino įvertis sudaro nuo 10</w:t>
      </w:r>
      <w:r w:rsidRPr="004A58EA">
        <w:rPr>
          <w:lang w:val="en-US"/>
        </w:rPr>
        <w:t>% iki 20% (imtinai)</w:t>
      </w:r>
      <w:r>
        <w:t xml:space="preserve"> galutinio įverčio (GĮ).</w:t>
      </w:r>
    </w:p>
    <w:p w14:paraId="13BF9392" w14:textId="77777777" w:rsidR="004A58EA" w:rsidRPr="00A51756" w:rsidRDefault="004A58EA" w:rsidP="00A51756"/>
    <w:p w14:paraId="01F4833C" w14:textId="39C4C7AE" w:rsidR="004A58EA" w:rsidRDefault="004A58EA" w:rsidP="004A58EA">
      <w:pPr>
        <w:pStyle w:val="ListParagraph"/>
        <w:ind w:left="360" w:firstLine="0"/>
        <w:jc w:val="center"/>
        <w:rPr>
          <w:b/>
        </w:rPr>
      </w:pPr>
      <w:r>
        <w:rPr>
          <w:b/>
        </w:rPr>
        <w:t>VII SKYRIUS</w:t>
      </w:r>
    </w:p>
    <w:p w14:paraId="0D5DFC79" w14:textId="52B5C952" w:rsidR="006648FE" w:rsidRDefault="004A58EA" w:rsidP="006648FE">
      <w:pPr>
        <w:ind w:firstLine="0"/>
        <w:jc w:val="center"/>
        <w:rPr>
          <w:b/>
        </w:rPr>
      </w:pPr>
      <w:r w:rsidRPr="00A51756">
        <w:rPr>
          <w:b/>
        </w:rPr>
        <w:t>BAIGIAMOSIOS NUOSTATOS</w:t>
      </w:r>
    </w:p>
    <w:p w14:paraId="142C2669" w14:textId="6216F529" w:rsidR="00413F33" w:rsidRPr="00B70160" w:rsidRDefault="00413F33" w:rsidP="00A51756">
      <w:pPr>
        <w:pStyle w:val="ListParagraph"/>
        <w:numPr>
          <w:ilvl w:val="0"/>
          <w:numId w:val="13"/>
        </w:numPr>
        <w:rPr>
          <w:b/>
        </w:rPr>
      </w:pPr>
      <w:r>
        <w:t xml:space="preserve">Visus kitus šiame Tvarkos apraše nenumatytus klausimus sprendžia </w:t>
      </w:r>
      <w:r w:rsidR="006D5B28">
        <w:t>Antano Gustaičio aviacijos instituto</w:t>
      </w:r>
      <w:r>
        <w:t xml:space="preserve"> </w:t>
      </w:r>
      <w:r w:rsidR="00B70160">
        <w:t>dekanas arba prodekanas</w:t>
      </w:r>
      <w:r>
        <w:t>.</w:t>
      </w:r>
    </w:p>
    <w:sectPr w:rsidR="00413F33" w:rsidRPr="00B70160" w:rsidSect="00A51756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9EF85" w16cid:durableId="1FFD521E"/>
  <w16cid:commentId w16cid:paraId="659CE900" w16cid:durableId="1FFD5290"/>
  <w16cid:commentId w16cid:paraId="470E8F35" w16cid:durableId="1FFD52A3"/>
  <w16cid:commentId w16cid:paraId="11F4D41E" w16cid:durableId="1FFD5339"/>
  <w16cid:commentId w16cid:paraId="3DED0767" w16cid:durableId="1FFD5389"/>
  <w16cid:commentId w16cid:paraId="7EDBF7A4" w16cid:durableId="1FFD53FD"/>
  <w16cid:commentId w16cid:paraId="58425546" w16cid:durableId="1FFD54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31C2" w14:textId="77777777" w:rsidR="00740590" w:rsidRDefault="00740590" w:rsidP="00433F16">
      <w:pPr>
        <w:spacing w:line="240" w:lineRule="auto"/>
      </w:pPr>
      <w:r>
        <w:separator/>
      </w:r>
    </w:p>
  </w:endnote>
  <w:endnote w:type="continuationSeparator" w:id="0">
    <w:p w14:paraId="17327AF8" w14:textId="77777777" w:rsidR="00740590" w:rsidRDefault="00740590" w:rsidP="00433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29C4" w14:textId="77777777" w:rsidR="00740590" w:rsidRDefault="00740590" w:rsidP="00433F16">
      <w:pPr>
        <w:spacing w:line="240" w:lineRule="auto"/>
      </w:pPr>
      <w:r>
        <w:separator/>
      </w:r>
    </w:p>
  </w:footnote>
  <w:footnote w:type="continuationSeparator" w:id="0">
    <w:p w14:paraId="5E1E9472" w14:textId="77777777" w:rsidR="00740590" w:rsidRDefault="00740590" w:rsidP="00433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9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342C74" w14:textId="0345F27D" w:rsidR="00433F16" w:rsidRDefault="00433F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F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144EBF" w14:textId="77777777" w:rsidR="00433F16" w:rsidRDefault="00433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6F5"/>
    <w:multiLevelType w:val="hybridMultilevel"/>
    <w:tmpl w:val="3042D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3FAA"/>
    <w:multiLevelType w:val="multilevel"/>
    <w:tmpl w:val="EDB4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71C44A9"/>
    <w:multiLevelType w:val="multilevel"/>
    <w:tmpl w:val="EDB4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9A325EC"/>
    <w:multiLevelType w:val="multilevel"/>
    <w:tmpl w:val="E7C8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269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80953"/>
    <w:multiLevelType w:val="multilevel"/>
    <w:tmpl w:val="EAF43FD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011C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D0238"/>
    <w:multiLevelType w:val="multilevel"/>
    <w:tmpl w:val="EDB4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B484E28"/>
    <w:multiLevelType w:val="multilevel"/>
    <w:tmpl w:val="2B1EA5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E74B51"/>
    <w:multiLevelType w:val="multilevel"/>
    <w:tmpl w:val="EDB4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ED9681A"/>
    <w:multiLevelType w:val="multilevel"/>
    <w:tmpl w:val="EDB4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2DC519F"/>
    <w:multiLevelType w:val="multilevel"/>
    <w:tmpl w:val="1736F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EE1D6B"/>
    <w:multiLevelType w:val="hybridMultilevel"/>
    <w:tmpl w:val="FE20B070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B374B"/>
    <w:multiLevelType w:val="multilevel"/>
    <w:tmpl w:val="EDB4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F"/>
    <w:rsid w:val="00021B66"/>
    <w:rsid w:val="00062F07"/>
    <w:rsid w:val="000D0F59"/>
    <w:rsid w:val="000D650F"/>
    <w:rsid w:val="00197E0F"/>
    <w:rsid w:val="001A3A89"/>
    <w:rsid w:val="001D088F"/>
    <w:rsid w:val="001D0FE7"/>
    <w:rsid w:val="002243BF"/>
    <w:rsid w:val="0023741A"/>
    <w:rsid w:val="00257A0D"/>
    <w:rsid w:val="002743BE"/>
    <w:rsid w:val="00292669"/>
    <w:rsid w:val="002A2285"/>
    <w:rsid w:val="0035378B"/>
    <w:rsid w:val="003804DF"/>
    <w:rsid w:val="00413F33"/>
    <w:rsid w:val="00433F16"/>
    <w:rsid w:val="00463E94"/>
    <w:rsid w:val="00473249"/>
    <w:rsid w:val="00480E89"/>
    <w:rsid w:val="00481507"/>
    <w:rsid w:val="004A58EA"/>
    <w:rsid w:val="004B49EF"/>
    <w:rsid w:val="00575A7B"/>
    <w:rsid w:val="005C5021"/>
    <w:rsid w:val="005E425C"/>
    <w:rsid w:val="00601A1B"/>
    <w:rsid w:val="006648FE"/>
    <w:rsid w:val="006B5FCA"/>
    <w:rsid w:val="006D5B28"/>
    <w:rsid w:val="0072772D"/>
    <w:rsid w:val="00737DE3"/>
    <w:rsid w:val="00740590"/>
    <w:rsid w:val="00847746"/>
    <w:rsid w:val="00891FAD"/>
    <w:rsid w:val="008D6EC2"/>
    <w:rsid w:val="008F7F07"/>
    <w:rsid w:val="009471CA"/>
    <w:rsid w:val="00995CD9"/>
    <w:rsid w:val="009D53C6"/>
    <w:rsid w:val="00A468D0"/>
    <w:rsid w:val="00A51756"/>
    <w:rsid w:val="00A52550"/>
    <w:rsid w:val="00A767C2"/>
    <w:rsid w:val="00AA27EC"/>
    <w:rsid w:val="00AB4D9A"/>
    <w:rsid w:val="00AC05B3"/>
    <w:rsid w:val="00AC5247"/>
    <w:rsid w:val="00AE3F7D"/>
    <w:rsid w:val="00AF16DB"/>
    <w:rsid w:val="00B70160"/>
    <w:rsid w:val="00BA0557"/>
    <w:rsid w:val="00BD7807"/>
    <w:rsid w:val="00C14E1F"/>
    <w:rsid w:val="00CA0B1B"/>
    <w:rsid w:val="00CD3AF4"/>
    <w:rsid w:val="00D11418"/>
    <w:rsid w:val="00D21782"/>
    <w:rsid w:val="00D45C16"/>
    <w:rsid w:val="00D77DEC"/>
    <w:rsid w:val="00D810BB"/>
    <w:rsid w:val="00D905F3"/>
    <w:rsid w:val="00E565C3"/>
    <w:rsid w:val="00EB5095"/>
    <w:rsid w:val="00EC1666"/>
    <w:rsid w:val="00EE4BBD"/>
    <w:rsid w:val="00F148C2"/>
    <w:rsid w:val="00F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D49"/>
  <w15:chartTrackingRefBased/>
  <w15:docId w15:val="{A9BA9E4D-8273-4A23-B337-309A7EE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CD9"/>
    <w:pPr>
      <w:spacing w:after="0" w:line="360" w:lineRule="auto"/>
      <w:ind w:firstLine="567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5CD9"/>
    <w:pPr>
      <w:keepNext/>
      <w:spacing w:before="120" w:after="120"/>
      <w:ind w:firstLine="0"/>
      <w:jc w:val="center"/>
      <w:outlineLvl w:val="0"/>
    </w:pPr>
    <w:rPr>
      <w:b/>
      <w:sz w:val="28"/>
    </w:rPr>
  </w:style>
  <w:style w:type="paragraph" w:styleId="Heading2">
    <w:name w:val="heading 2"/>
    <w:aliases w:val="Poskyrių pavadinimai"/>
    <w:basedOn w:val="Normal"/>
    <w:next w:val="Normal"/>
    <w:link w:val="Heading2Char"/>
    <w:qFormat/>
    <w:rsid w:val="0035378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5CD9"/>
    <w:pPr>
      <w:keepNext/>
      <w:spacing w:before="120" w:after="120"/>
      <w:jc w:val="center"/>
      <w:outlineLvl w:val="2"/>
    </w:pPr>
    <w:rPr>
      <w:b/>
      <w:sz w:val="28"/>
    </w:rPr>
  </w:style>
  <w:style w:type="paragraph" w:styleId="Heading4">
    <w:name w:val="heading 4"/>
    <w:aliases w:val="Lentelės"/>
    <w:basedOn w:val="Normal"/>
    <w:next w:val="Normal"/>
    <w:link w:val="Heading4Char"/>
    <w:qFormat/>
    <w:rsid w:val="0035378B"/>
    <w:pPr>
      <w:keepNext/>
      <w:spacing w:line="240" w:lineRule="auto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oskyrių pavadinimai Char"/>
    <w:basedOn w:val="DefaultParagraphFont"/>
    <w:link w:val="Heading2"/>
    <w:rsid w:val="0035378B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95C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995C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aliases w:val="Lentelės Char"/>
    <w:basedOn w:val="DefaultParagraphFont"/>
    <w:link w:val="Heading4"/>
    <w:rsid w:val="0035378B"/>
    <w:rPr>
      <w:rFonts w:ascii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6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6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41A"/>
    <w:pPr>
      <w:spacing w:before="120" w:after="120" w:line="240" w:lineRule="auto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433F1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1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3F1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16"/>
    <w:rPr>
      <w:rFonts w:ascii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A2285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4768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Seniūnaitė</dc:creator>
  <cp:keywords/>
  <dc:description/>
  <cp:lastModifiedBy>Darius Rudinskas</cp:lastModifiedBy>
  <cp:revision>4</cp:revision>
  <cp:lastPrinted>2019-01-30T05:35:00Z</cp:lastPrinted>
  <dcterms:created xsi:type="dcterms:W3CDTF">2019-01-31T12:29:00Z</dcterms:created>
  <dcterms:modified xsi:type="dcterms:W3CDTF">2019-02-01T06:23:00Z</dcterms:modified>
</cp:coreProperties>
</file>